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593E" w14:textId="77777777" w:rsidR="003F2871" w:rsidRDefault="003F2871" w:rsidP="003F2871">
      <w:pPr>
        <w:jc w:val="center"/>
      </w:pPr>
      <w:bookmarkStart w:id="0" w:name="_GoBack"/>
      <w:bookmarkEnd w:id="0"/>
      <w:r>
        <w:rPr>
          <w:noProof/>
          <w:lang w:eastAsia="en-AU"/>
        </w:rPr>
        <w:drawing>
          <wp:inline distT="0" distB="0" distL="0" distR="0" wp14:anchorId="226A2873" wp14:editId="5D9E856A">
            <wp:extent cx="1546225" cy="7092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225" cy="709295"/>
                    </a:xfrm>
                    <a:prstGeom prst="rect">
                      <a:avLst/>
                    </a:prstGeom>
                    <a:noFill/>
                    <a:ln>
                      <a:noFill/>
                    </a:ln>
                  </pic:spPr>
                </pic:pic>
              </a:graphicData>
            </a:graphic>
          </wp:inline>
        </w:drawing>
      </w:r>
    </w:p>
    <w:p w14:paraId="153EA001" w14:textId="77777777" w:rsidR="003F2871" w:rsidRDefault="003F2871" w:rsidP="003F2871">
      <w:pPr>
        <w:jc w:val="center"/>
      </w:pPr>
      <w:r>
        <w:t>ABN 31 548 912 869</w:t>
      </w:r>
    </w:p>
    <w:p w14:paraId="560DD294" w14:textId="60E9A4E2" w:rsidR="003F2871" w:rsidRPr="00F5669C" w:rsidRDefault="004A5B3D" w:rsidP="003F2871">
      <w:pPr>
        <w:rPr>
          <w:color w:val="FF0000"/>
        </w:rPr>
      </w:pPr>
      <w:r w:rsidRPr="00F5669C">
        <w:t xml:space="preserve">30 </w:t>
      </w:r>
      <w:r w:rsidR="00D625F2" w:rsidRPr="00F5669C">
        <w:t xml:space="preserve">July 2020 </w:t>
      </w:r>
      <w:r w:rsidR="003020D6" w:rsidRPr="00F5669C">
        <w:tab/>
      </w:r>
      <w:r w:rsidR="003020D6" w:rsidRPr="00F5669C">
        <w:tab/>
      </w:r>
      <w:r w:rsidR="003020D6" w:rsidRPr="00F5669C">
        <w:tab/>
      </w:r>
      <w:r w:rsidR="003020D6" w:rsidRPr="00F5669C">
        <w:tab/>
      </w:r>
      <w:r w:rsidR="003020D6" w:rsidRPr="00F5669C">
        <w:tab/>
      </w:r>
      <w:r w:rsidR="003020D6" w:rsidRPr="00F5669C">
        <w:tab/>
      </w:r>
      <w:r w:rsidR="003020D6" w:rsidRPr="00F5669C">
        <w:rPr>
          <w:color w:val="FF0000"/>
        </w:rPr>
        <w:t xml:space="preserve"> </w:t>
      </w:r>
    </w:p>
    <w:p w14:paraId="5B7BB809" w14:textId="631A06C0" w:rsidR="003F2871" w:rsidRPr="00F5669C" w:rsidRDefault="00D625F2" w:rsidP="00D625F2">
      <w:pPr>
        <w:spacing w:after="0"/>
      </w:pPr>
      <w:r w:rsidRPr="00F5669C">
        <w:t xml:space="preserve">Ms </w:t>
      </w:r>
      <w:r w:rsidR="003F2871" w:rsidRPr="00F5669C">
        <w:t>Natalie Neal</w:t>
      </w:r>
    </w:p>
    <w:p w14:paraId="34500D6F" w14:textId="77777777" w:rsidR="003F2871" w:rsidRPr="00F5669C" w:rsidRDefault="003F2871" w:rsidP="00D625F2">
      <w:pPr>
        <w:spacing w:after="0"/>
      </w:pPr>
      <w:r w:rsidRPr="00F5669C">
        <w:t>Senior Policy Officer</w:t>
      </w:r>
    </w:p>
    <w:p w14:paraId="7E201ED5" w14:textId="77777777" w:rsidR="003F2871" w:rsidRPr="00F5669C" w:rsidRDefault="003F2871" w:rsidP="00D625F2">
      <w:pPr>
        <w:spacing w:after="0"/>
      </w:pPr>
      <w:r w:rsidRPr="00F5669C">
        <w:t>Policy &amp; Regulatory Strategy</w:t>
      </w:r>
    </w:p>
    <w:p w14:paraId="2C040C54" w14:textId="11EBD914" w:rsidR="000F4FAC" w:rsidRPr="00F5669C" w:rsidRDefault="003F2871" w:rsidP="00D625F2">
      <w:pPr>
        <w:spacing w:after="0"/>
      </w:pPr>
      <w:r w:rsidRPr="00F5669C">
        <w:t xml:space="preserve">CPD Review </w:t>
      </w:r>
      <w:hyperlink r:id="rId9" w:history="1">
        <w:r w:rsidRPr="00F5669C">
          <w:rPr>
            <w:rStyle w:val="Hyperlink"/>
          </w:rPr>
          <w:t>cpdreview@lsbc.vic.gov.au</w:t>
        </w:r>
      </w:hyperlink>
    </w:p>
    <w:p w14:paraId="22DD8D52" w14:textId="76651AD5" w:rsidR="003F2871" w:rsidRPr="00F5669C" w:rsidRDefault="003F2871"/>
    <w:p w14:paraId="0B146BF2" w14:textId="297DD51E" w:rsidR="00D625F2" w:rsidRPr="00F5669C" w:rsidRDefault="00D625F2">
      <w:r w:rsidRPr="00F5669C">
        <w:t xml:space="preserve">Dear Natalie </w:t>
      </w:r>
    </w:p>
    <w:p w14:paraId="5D9FAAB3" w14:textId="01AF71F0" w:rsidR="003F2871" w:rsidRPr="00F5669C" w:rsidRDefault="00D625F2">
      <w:pPr>
        <w:rPr>
          <w:b/>
          <w:bCs/>
          <w:u w:val="single"/>
        </w:rPr>
      </w:pPr>
      <w:r w:rsidRPr="00F5669C">
        <w:rPr>
          <w:b/>
          <w:bCs/>
          <w:u w:val="single"/>
        </w:rPr>
        <w:t xml:space="preserve">VLSB CPD Review </w:t>
      </w:r>
    </w:p>
    <w:p w14:paraId="69F0ABAF" w14:textId="5639F6C4" w:rsidR="008D7D89" w:rsidRPr="00F5669C" w:rsidRDefault="00D625F2" w:rsidP="008D7D89">
      <w:r w:rsidRPr="00F5669C">
        <w:t>Thank you for the opportunity of meeting with Chris Humphreys in relation to the CPD Review</w:t>
      </w:r>
      <w:r w:rsidR="00BE0212" w:rsidRPr="00F5669C">
        <w:t xml:space="preserve">. </w:t>
      </w:r>
      <w:r w:rsidR="008D7D89" w:rsidRPr="00F5669C">
        <w:t xml:space="preserve"> </w:t>
      </w:r>
    </w:p>
    <w:p w14:paraId="3EA5CCDB" w14:textId="5D5ED3F5" w:rsidR="008D7D89" w:rsidRPr="00F5669C" w:rsidRDefault="00D625F2">
      <w:r w:rsidRPr="00F5669C">
        <w:t xml:space="preserve">As discussed, CLEAA </w:t>
      </w:r>
      <w:r w:rsidR="008D7D89" w:rsidRPr="00F5669C">
        <w:t xml:space="preserve">exists to be a forum that brings together all stakeholders interested in the provision of continuing legal education and professional development for solicitors, barristers and judges in Australasia.  It is a </w:t>
      </w:r>
      <w:r w:rsidRPr="00F5669C">
        <w:t xml:space="preserve">not for profit organisation whose members are </w:t>
      </w:r>
      <w:r w:rsidR="008D7D89" w:rsidRPr="00F5669C">
        <w:t>representative of a range of types of CPD and PD providers and our events</w:t>
      </w:r>
      <w:r w:rsidR="00BE0212" w:rsidRPr="00F5669C">
        <w:t>,</w:t>
      </w:r>
      <w:r w:rsidR="008D7D89" w:rsidRPr="00F5669C">
        <w:t xml:space="preserve"> such as conferences and more recently Zoom meetings,</w:t>
      </w:r>
      <w:r w:rsidR="003020D6" w:rsidRPr="00F5669C">
        <w:t xml:space="preserve"> are well attended </w:t>
      </w:r>
      <w:r w:rsidR="00F5669C" w:rsidRPr="00F5669C">
        <w:t xml:space="preserve">by </w:t>
      </w:r>
      <w:r w:rsidR="003020D6" w:rsidRPr="00F5669C">
        <w:t xml:space="preserve">stakeholders across the full range. </w:t>
      </w:r>
      <w:r w:rsidR="008D7D89" w:rsidRPr="00F5669C">
        <w:t xml:space="preserve"> </w:t>
      </w:r>
      <w:r w:rsidR="00F5669C" w:rsidRPr="00F5669C">
        <w:t>In case it’s of assistance, a</w:t>
      </w:r>
      <w:r w:rsidR="004A5B3D" w:rsidRPr="00F5669C">
        <w:t xml:space="preserve">ttached is a brief description of CLEAA and its recent activities.  </w:t>
      </w:r>
    </w:p>
    <w:p w14:paraId="08BCB3D1" w14:textId="70636F91" w:rsidR="00BE0212" w:rsidRPr="00F5669C" w:rsidRDefault="00BE0212" w:rsidP="00BE0212">
      <w:r w:rsidRPr="00F5669C">
        <w:t xml:space="preserve">It is not the intent of this letter to summarise </w:t>
      </w:r>
      <w:r w:rsidR="004A5B3D" w:rsidRPr="00F5669C">
        <w:t xml:space="preserve">the many issues and ideas </w:t>
      </w:r>
      <w:r w:rsidRPr="00F5669C">
        <w:t xml:space="preserve">canvassed in the meeting with </w:t>
      </w:r>
      <w:r w:rsidR="004A5B3D" w:rsidRPr="00F5669C">
        <w:t xml:space="preserve">Mr Humphreys </w:t>
      </w:r>
      <w:r w:rsidRPr="00F5669C">
        <w:t xml:space="preserve">or submissions of individual </w:t>
      </w:r>
      <w:r w:rsidR="004A5B3D" w:rsidRPr="00F5669C">
        <w:t xml:space="preserve">CLEAA </w:t>
      </w:r>
      <w:r w:rsidRPr="00F5669C">
        <w:t>members. Rather</w:t>
      </w:r>
      <w:r w:rsidR="00FF70CB">
        <w:t>,</w:t>
      </w:r>
      <w:r w:rsidRPr="00F5669C">
        <w:t xml:space="preserve"> I am writing to confirm CLEAA’s support for the aims of the CPD review and the overarching </w:t>
      </w:r>
      <w:r w:rsidR="00900503" w:rsidRPr="00F5669C">
        <w:t xml:space="preserve">vision of </w:t>
      </w:r>
      <w:r w:rsidRPr="00F5669C">
        <w:t xml:space="preserve">a CPD scheme that is fit for purpose and provides </w:t>
      </w:r>
      <w:r w:rsidR="003020D6" w:rsidRPr="00F5669C">
        <w:t>sufficient, relevant</w:t>
      </w:r>
      <w:r w:rsidR="00FF70CB">
        <w:t xml:space="preserve"> and high</w:t>
      </w:r>
      <w:r w:rsidR="003020D6" w:rsidRPr="00F5669C">
        <w:t xml:space="preserve"> </w:t>
      </w:r>
      <w:r w:rsidRPr="00F5669C">
        <w:t xml:space="preserve">quality learning experiences for </w:t>
      </w:r>
      <w:r w:rsidR="00F5669C" w:rsidRPr="00F5669C">
        <w:t xml:space="preserve">practising </w:t>
      </w:r>
      <w:r w:rsidRPr="00F5669C">
        <w:t xml:space="preserve">lawyers. </w:t>
      </w:r>
    </w:p>
    <w:p w14:paraId="58C1F9CD" w14:textId="7787DE80" w:rsidR="00535692" w:rsidRDefault="004A5B3D" w:rsidP="004A5B3D">
      <w:r w:rsidRPr="00F5669C">
        <w:t>Give</w:t>
      </w:r>
      <w:r w:rsidR="00FF70CB">
        <w:t>n</w:t>
      </w:r>
      <w:r w:rsidRPr="00F5669C">
        <w:t xml:space="preserve"> CLEAA’s unique position </w:t>
      </w:r>
      <w:r w:rsidR="00F5669C" w:rsidRPr="00F5669C">
        <w:t xml:space="preserve">with providers </w:t>
      </w:r>
      <w:r w:rsidRPr="00F5669C">
        <w:t xml:space="preserve">and its endorsement of the goals of the review, I would like to offer practical assistance once the review is finalised and recommendations made. </w:t>
      </w:r>
      <w:r w:rsidR="00F5669C" w:rsidRPr="00F5669C">
        <w:t>Without pre-empting the outcomes of the review</w:t>
      </w:r>
      <w:r w:rsidR="00535692">
        <w:t xml:space="preserve">, </w:t>
      </w:r>
      <w:r w:rsidR="00F5669C" w:rsidRPr="00F5669C">
        <w:t>CLEAA would be willing to disseminate the review report to the providers</w:t>
      </w:r>
      <w:r w:rsidR="00535692">
        <w:t xml:space="preserve">, </w:t>
      </w:r>
      <w:r w:rsidR="00535692" w:rsidRPr="00136A6E">
        <w:t>canvass views and provide</w:t>
      </w:r>
      <w:r w:rsidR="00136A6E" w:rsidRPr="00136A6E">
        <w:t xml:space="preserve"> you with</w:t>
      </w:r>
      <w:r w:rsidR="00535692" w:rsidRPr="00136A6E">
        <w:t xml:space="preserve"> any feedback</w:t>
      </w:r>
      <w:r w:rsidR="00535692">
        <w:t xml:space="preserve"> on recommendations. </w:t>
      </w:r>
      <w:r w:rsidR="00136A6E">
        <w:t xml:space="preserve">Should it be of assistance, </w:t>
      </w:r>
      <w:r w:rsidRPr="00F5669C">
        <w:t>CLEAA is well place</w:t>
      </w:r>
      <w:r w:rsidR="00FF70CB">
        <w:t>d</w:t>
      </w:r>
      <w:r w:rsidRPr="00F5669C">
        <w:t xml:space="preserve"> to support any projects or initiatives that may be relevant to providers such as </w:t>
      </w:r>
      <w:r w:rsidR="00FF70CB">
        <w:t xml:space="preserve">the </w:t>
      </w:r>
      <w:r w:rsidRPr="00F5669C">
        <w:t xml:space="preserve">development of quality standards or </w:t>
      </w:r>
      <w:r w:rsidR="00136A6E">
        <w:t>a code of conduct for providers</w:t>
      </w:r>
      <w:r w:rsidRPr="00F5669C">
        <w:t>.</w:t>
      </w:r>
      <w:r w:rsidR="00F5669C" w:rsidRPr="00F5669C">
        <w:t xml:space="preserve"> </w:t>
      </w:r>
      <w:r w:rsidR="00535692">
        <w:t xml:space="preserve"> </w:t>
      </w:r>
      <w:r w:rsidR="00F5669C">
        <w:t xml:space="preserve">Furthermore, </w:t>
      </w:r>
      <w:r w:rsidR="00F5669C" w:rsidRPr="00F5669C">
        <w:t xml:space="preserve">CLEAA is mindful that CPD is </w:t>
      </w:r>
      <w:r w:rsidR="00F5669C">
        <w:t xml:space="preserve">only </w:t>
      </w:r>
      <w:r w:rsidR="00F5669C" w:rsidRPr="00F5669C">
        <w:t>one of a number of interconnected strategies for assuring and maintaining lawyer competence</w:t>
      </w:r>
      <w:r w:rsidR="002218B3">
        <w:t>. To the extent that the review touches on these other areas then CLEAA is well placed</w:t>
      </w:r>
      <w:r w:rsidR="00535692">
        <w:t xml:space="preserve"> through the diverse experience of its membership to be able to contribute to i</w:t>
      </w:r>
      <w:r w:rsidR="002218B3">
        <w:t xml:space="preserve">nitiatives </w:t>
      </w:r>
      <w:r w:rsidR="00535692">
        <w:t>involving lawyer competence more broadly.</w:t>
      </w:r>
    </w:p>
    <w:p w14:paraId="3E26A634" w14:textId="77777777" w:rsidR="00535692" w:rsidRDefault="00535692" w:rsidP="004A5B3D">
      <w:r>
        <w:lastRenderedPageBreak/>
        <w:t xml:space="preserve">Once again, thank you for the opportunity of contributing to the review. Please don’t hesitate to get in touch again if CLEAA can be of further assistance. </w:t>
      </w:r>
    </w:p>
    <w:p w14:paraId="078D6BB9" w14:textId="77777777" w:rsidR="00136A6E" w:rsidRDefault="00136A6E" w:rsidP="00535692">
      <w:pPr>
        <w:spacing w:after="0"/>
      </w:pPr>
    </w:p>
    <w:p w14:paraId="1CECCD09" w14:textId="326FD6BA" w:rsidR="00535692" w:rsidRDefault="00535692" w:rsidP="00535692">
      <w:pPr>
        <w:spacing w:after="0"/>
      </w:pPr>
      <w:r>
        <w:t xml:space="preserve">Yours sincerely </w:t>
      </w:r>
    </w:p>
    <w:p w14:paraId="44CFFE4D" w14:textId="77777777" w:rsidR="00535692" w:rsidRDefault="00535692" w:rsidP="00535692">
      <w:pPr>
        <w:spacing w:after="0"/>
      </w:pPr>
      <w:r>
        <w:t>Jacquelyn Simon</w:t>
      </w:r>
    </w:p>
    <w:p w14:paraId="2B2AD425" w14:textId="267E4C60" w:rsidR="00535692" w:rsidRDefault="00535692" w:rsidP="00136A6E">
      <w:pPr>
        <w:spacing w:after="0"/>
      </w:pPr>
      <w:r>
        <w:t xml:space="preserve">President  </w:t>
      </w:r>
      <w:r>
        <w:br w:type="page"/>
      </w:r>
    </w:p>
    <w:p w14:paraId="2D995975" w14:textId="59FB4C58" w:rsidR="003F2871" w:rsidRDefault="00535692" w:rsidP="00535692">
      <w:pPr>
        <w:jc w:val="center"/>
      </w:pPr>
      <w:r>
        <w:rPr>
          <w:noProof/>
          <w:lang w:eastAsia="en-AU"/>
        </w:rPr>
        <w:lastRenderedPageBreak/>
        <w:drawing>
          <wp:inline distT="0" distB="0" distL="0" distR="0" wp14:anchorId="73B3F95A" wp14:editId="280C4694">
            <wp:extent cx="154876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707390"/>
                    </a:xfrm>
                    <a:prstGeom prst="rect">
                      <a:avLst/>
                    </a:prstGeom>
                    <a:noFill/>
                  </pic:spPr>
                </pic:pic>
              </a:graphicData>
            </a:graphic>
          </wp:inline>
        </w:drawing>
      </w:r>
    </w:p>
    <w:p w14:paraId="34C32C74" w14:textId="77777777" w:rsidR="00535692" w:rsidRDefault="00535692" w:rsidP="00535692">
      <w:pPr>
        <w:jc w:val="center"/>
      </w:pPr>
      <w:r>
        <w:t>ABN 31 548 912 869</w:t>
      </w:r>
    </w:p>
    <w:p w14:paraId="18ACB5B2" w14:textId="6C268401" w:rsidR="00535692" w:rsidRPr="0048642A" w:rsidRDefault="00402845" w:rsidP="007B31A3">
      <w:pPr>
        <w:rPr>
          <w:rFonts w:cstheme="minorHAnsi"/>
          <w:b/>
          <w:bCs/>
          <w:sz w:val="21"/>
          <w:szCs w:val="21"/>
        </w:rPr>
      </w:pPr>
      <w:r w:rsidRPr="0048642A">
        <w:rPr>
          <w:rFonts w:cstheme="minorHAnsi"/>
          <w:b/>
          <w:bCs/>
          <w:sz w:val="21"/>
          <w:szCs w:val="21"/>
        </w:rPr>
        <w:t xml:space="preserve">Attachment - </w:t>
      </w:r>
      <w:r w:rsidR="007B31A3" w:rsidRPr="0048642A">
        <w:rPr>
          <w:rFonts w:cstheme="minorHAnsi"/>
          <w:b/>
          <w:bCs/>
          <w:sz w:val="21"/>
          <w:szCs w:val="21"/>
        </w:rPr>
        <w:t>ABOUT CLEAA</w:t>
      </w:r>
    </w:p>
    <w:p w14:paraId="79EBAB41" w14:textId="3099A29B" w:rsidR="009425E1" w:rsidRPr="0048642A" w:rsidRDefault="00A93432" w:rsidP="00A93432">
      <w:pPr>
        <w:pStyle w:val="Default"/>
        <w:numPr>
          <w:ilvl w:val="0"/>
          <w:numId w:val="4"/>
        </w:numPr>
        <w:rPr>
          <w:rFonts w:asciiTheme="minorHAnsi" w:hAnsiTheme="minorHAnsi" w:cstheme="minorHAnsi"/>
          <w:sz w:val="21"/>
          <w:szCs w:val="21"/>
        </w:rPr>
      </w:pPr>
      <w:r w:rsidRPr="0048642A">
        <w:rPr>
          <w:rFonts w:asciiTheme="minorHAnsi" w:hAnsiTheme="minorHAnsi" w:cstheme="minorHAnsi"/>
          <w:b/>
          <w:bCs/>
          <w:sz w:val="21"/>
          <w:szCs w:val="21"/>
        </w:rPr>
        <w:t>Establishment:</w:t>
      </w:r>
      <w:r w:rsidRPr="0048642A">
        <w:rPr>
          <w:rFonts w:asciiTheme="minorHAnsi" w:hAnsiTheme="minorHAnsi" w:cstheme="minorHAnsi"/>
          <w:sz w:val="21"/>
          <w:szCs w:val="21"/>
        </w:rPr>
        <w:t xml:space="preserve"> </w:t>
      </w:r>
      <w:r w:rsidR="009425E1" w:rsidRPr="0048642A">
        <w:rPr>
          <w:rFonts w:asciiTheme="minorHAnsi" w:hAnsiTheme="minorHAnsi" w:cstheme="minorHAnsi"/>
          <w:sz w:val="21"/>
          <w:szCs w:val="21"/>
        </w:rPr>
        <w:t>CLEAA has been in existence for about 40 years having started as a committee of the Law Council of Australia and spun off in the 1980s as CLEAC, the Continuing Legal Education Administrator’s Conference.</w:t>
      </w:r>
      <w:r w:rsidR="004978FD" w:rsidRPr="0048642A">
        <w:rPr>
          <w:rFonts w:asciiTheme="minorHAnsi" w:hAnsiTheme="minorHAnsi" w:cstheme="minorHAnsi"/>
          <w:sz w:val="21"/>
          <w:szCs w:val="21"/>
        </w:rPr>
        <w:t xml:space="preserve"> </w:t>
      </w:r>
    </w:p>
    <w:p w14:paraId="1B4FB782" w14:textId="77777777" w:rsidR="009425E1" w:rsidRPr="0048642A" w:rsidRDefault="009425E1" w:rsidP="00B17EBE">
      <w:pPr>
        <w:pStyle w:val="Default"/>
        <w:rPr>
          <w:rFonts w:asciiTheme="minorHAnsi" w:hAnsiTheme="minorHAnsi" w:cstheme="minorHAnsi"/>
          <w:sz w:val="21"/>
          <w:szCs w:val="21"/>
        </w:rPr>
      </w:pPr>
    </w:p>
    <w:p w14:paraId="4C096320" w14:textId="5064E5B2" w:rsidR="00B17EBE" w:rsidRPr="0048642A" w:rsidRDefault="00A93432" w:rsidP="00A93432">
      <w:pPr>
        <w:pStyle w:val="Default"/>
        <w:numPr>
          <w:ilvl w:val="0"/>
          <w:numId w:val="4"/>
        </w:numPr>
        <w:rPr>
          <w:rFonts w:asciiTheme="minorHAnsi" w:hAnsiTheme="minorHAnsi" w:cstheme="minorHAnsi"/>
          <w:sz w:val="21"/>
          <w:szCs w:val="21"/>
        </w:rPr>
      </w:pPr>
      <w:r w:rsidRPr="0048642A">
        <w:rPr>
          <w:rFonts w:asciiTheme="minorHAnsi" w:hAnsiTheme="minorHAnsi" w:cstheme="minorHAnsi"/>
          <w:b/>
          <w:bCs/>
          <w:sz w:val="21"/>
          <w:szCs w:val="21"/>
        </w:rPr>
        <w:t>Purpose:</w:t>
      </w:r>
      <w:r w:rsidRPr="0048642A">
        <w:rPr>
          <w:rFonts w:asciiTheme="minorHAnsi" w:hAnsiTheme="minorHAnsi" w:cstheme="minorHAnsi"/>
          <w:sz w:val="21"/>
          <w:szCs w:val="21"/>
        </w:rPr>
        <w:t xml:space="preserve"> </w:t>
      </w:r>
      <w:r w:rsidR="009425E1" w:rsidRPr="0048642A">
        <w:rPr>
          <w:rFonts w:asciiTheme="minorHAnsi" w:hAnsiTheme="minorHAnsi" w:cstheme="minorHAnsi"/>
          <w:sz w:val="21"/>
          <w:szCs w:val="21"/>
        </w:rPr>
        <w:t>With a name change and other amendments to the Constitu</w:t>
      </w:r>
      <w:r w:rsidR="004978FD" w:rsidRPr="0048642A">
        <w:rPr>
          <w:rFonts w:asciiTheme="minorHAnsi" w:hAnsiTheme="minorHAnsi" w:cstheme="minorHAnsi"/>
          <w:sz w:val="21"/>
          <w:szCs w:val="21"/>
        </w:rPr>
        <w:t>t</w:t>
      </w:r>
      <w:r w:rsidR="009425E1" w:rsidRPr="0048642A">
        <w:rPr>
          <w:rFonts w:asciiTheme="minorHAnsi" w:hAnsiTheme="minorHAnsi" w:cstheme="minorHAnsi"/>
          <w:sz w:val="21"/>
          <w:szCs w:val="21"/>
        </w:rPr>
        <w:t>ion over the years CLEAA</w:t>
      </w:r>
      <w:r w:rsidR="004978FD" w:rsidRPr="0048642A">
        <w:rPr>
          <w:rFonts w:asciiTheme="minorHAnsi" w:hAnsiTheme="minorHAnsi" w:cstheme="minorHAnsi"/>
          <w:sz w:val="21"/>
          <w:szCs w:val="21"/>
        </w:rPr>
        <w:t xml:space="preserve"> remains </w:t>
      </w:r>
      <w:r w:rsidR="009425E1" w:rsidRPr="0048642A">
        <w:rPr>
          <w:rFonts w:asciiTheme="minorHAnsi" w:hAnsiTheme="minorHAnsi" w:cstheme="minorHAnsi"/>
          <w:sz w:val="21"/>
          <w:szCs w:val="21"/>
        </w:rPr>
        <w:t xml:space="preserve">an unincorporated association.  </w:t>
      </w:r>
      <w:r w:rsidR="004978FD" w:rsidRPr="0048642A">
        <w:rPr>
          <w:rFonts w:asciiTheme="minorHAnsi" w:hAnsiTheme="minorHAnsi" w:cstheme="minorHAnsi"/>
          <w:sz w:val="21"/>
          <w:szCs w:val="21"/>
        </w:rPr>
        <w:t xml:space="preserve"> </w:t>
      </w:r>
      <w:r w:rsidR="009425E1" w:rsidRPr="0048642A">
        <w:rPr>
          <w:rFonts w:asciiTheme="minorHAnsi" w:hAnsiTheme="minorHAnsi" w:cstheme="minorHAnsi"/>
          <w:sz w:val="21"/>
          <w:szCs w:val="21"/>
        </w:rPr>
        <w:t xml:space="preserve">The most recent edition of the Constitution dates from January 2011 and Article </w:t>
      </w:r>
      <w:r w:rsidR="00B17EBE" w:rsidRPr="0048642A">
        <w:rPr>
          <w:rFonts w:asciiTheme="minorHAnsi" w:hAnsiTheme="minorHAnsi" w:cstheme="minorHAnsi"/>
          <w:sz w:val="21"/>
          <w:szCs w:val="21"/>
        </w:rPr>
        <w:t xml:space="preserve">2 </w:t>
      </w:r>
      <w:r w:rsidR="004978FD" w:rsidRPr="0048642A">
        <w:rPr>
          <w:rFonts w:asciiTheme="minorHAnsi" w:hAnsiTheme="minorHAnsi" w:cstheme="minorHAnsi"/>
          <w:sz w:val="21"/>
          <w:szCs w:val="21"/>
        </w:rPr>
        <w:t xml:space="preserve">confirms </w:t>
      </w:r>
      <w:r w:rsidR="009425E1" w:rsidRPr="0048642A">
        <w:rPr>
          <w:rFonts w:asciiTheme="minorHAnsi" w:hAnsiTheme="minorHAnsi" w:cstheme="minorHAnsi"/>
          <w:sz w:val="21"/>
          <w:szCs w:val="21"/>
        </w:rPr>
        <w:t>CLEAA</w:t>
      </w:r>
      <w:r w:rsidR="004978FD" w:rsidRPr="0048642A">
        <w:rPr>
          <w:rFonts w:asciiTheme="minorHAnsi" w:hAnsiTheme="minorHAnsi" w:cstheme="minorHAnsi"/>
          <w:sz w:val="21"/>
          <w:szCs w:val="21"/>
        </w:rPr>
        <w:t>’s purpose</w:t>
      </w:r>
      <w:r w:rsidR="009425E1" w:rsidRPr="0048642A">
        <w:rPr>
          <w:rFonts w:asciiTheme="minorHAnsi" w:hAnsiTheme="minorHAnsi" w:cstheme="minorHAnsi"/>
          <w:sz w:val="21"/>
          <w:szCs w:val="21"/>
        </w:rPr>
        <w:t xml:space="preserve"> as follows:</w:t>
      </w:r>
      <w:r w:rsidR="00B17EBE" w:rsidRPr="0048642A">
        <w:rPr>
          <w:rFonts w:asciiTheme="minorHAnsi" w:hAnsiTheme="minorHAnsi" w:cstheme="minorHAnsi"/>
          <w:sz w:val="21"/>
          <w:szCs w:val="21"/>
        </w:rPr>
        <w:t xml:space="preserve"> </w:t>
      </w:r>
    </w:p>
    <w:p w14:paraId="1F2CAF46" w14:textId="3C10270F" w:rsidR="00B17EBE" w:rsidRPr="0048642A" w:rsidRDefault="009425E1" w:rsidP="009425E1">
      <w:pPr>
        <w:pStyle w:val="Default"/>
        <w:ind w:left="720"/>
        <w:rPr>
          <w:rFonts w:asciiTheme="minorHAnsi" w:hAnsiTheme="minorHAnsi" w:cstheme="minorHAnsi"/>
          <w:sz w:val="21"/>
          <w:szCs w:val="21"/>
        </w:rPr>
      </w:pPr>
      <w:r w:rsidRPr="0048642A">
        <w:rPr>
          <w:rFonts w:asciiTheme="minorHAnsi" w:hAnsiTheme="minorHAnsi" w:cstheme="minorHAnsi"/>
          <w:sz w:val="21"/>
          <w:szCs w:val="21"/>
        </w:rPr>
        <w:t>“</w:t>
      </w:r>
      <w:r w:rsidR="00B17EBE" w:rsidRPr="0048642A">
        <w:rPr>
          <w:rFonts w:asciiTheme="minorHAnsi" w:hAnsiTheme="minorHAnsi" w:cstheme="minorHAnsi"/>
          <w:sz w:val="21"/>
          <w:szCs w:val="21"/>
        </w:rPr>
        <w:t xml:space="preserve">The primary purpose for establishing CLEAA is to engage individuals, organisations and bodies who are interested in or involved in continuing legal education, or who provide services for the purpose of continuing legal education. </w:t>
      </w:r>
    </w:p>
    <w:p w14:paraId="3693E1DF" w14:textId="0EC016BE" w:rsidR="007B31A3" w:rsidRPr="0048642A" w:rsidRDefault="00B17EBE" w:rsidP="009425E1">
      <w:pPr>
        <w:ind w:left="720"/>
        <w:rPr>
          <w:rFonts w:cstheme="minorHAnsi"/>
          <w:sz w:val="21"/>
          <w:szCs w:val="21"/>
        </w:rPr>
      </w:pPr>
      <w:r w:rsidRPr="0048642A">
        <w:rPr>
          <w:rFonts w:cstheme="minorHAnsi"/>
          <w:sz w:val="21"/>
          <w:szCs w:val="21"/>
        </w:rPr>
        <w:t>(For the purpose of this Constitution, continuing legal education includes any educational activity which may generally be described as continuing professional development within the legal sector.)</w:t>
      </w:r>
      <w:r w:rsidR="009425E1" w:rsidRPr="0048642A">
        <w:rPr>
          <w:rFonts w:cstheme="minorHAnsi"/>
          <w:sz w:val="21"/>
          <w:szCs w:val="21"/>
        </w:rPr>
        <w:t xml:space="preserve">” </w:t>
      </w:r>
    </w:p>
    <w:p w14:paraId="75C33339" w14:textId="6263A920" w:rsidR="004978FD" w:rsidRPr="0048642A" w:rsidRDefault="00A93432" w:rsidP="00A93432">
      <w:pPr>
        <w:pStyle w:val="ListParagraph"/>
        <w:numPr>
          <w:ilvl w:val="0"/>
          <w:numId w:val="4"/>
        </w:numPr>
        <w:rPr>
          <w:rFonts w:cstheme="minorHAnsi"/>
          <w:sz w:val="21"/>
          <w:szCs w:val="21"/>
        </w:rPr>
      </w:pPr>
      <w:r w:rsidRPr="0048642A">
        <w:rPr>
          <w:rFonts w:cstheme="minorHAnsi"/>
          <w:b/>
          <w:bCs/>
          <w:sz w:val="21"/>
          <w:szCs w:val="21"/>
        </w:rPr>
        <w:t>Membership:</w:t>
      </w:r>
      <w:r w:rsidRPr="0048642A">
        <w:rPr>
          <w:rFonts w:cstheme="minorHAnsi"/>
          <w:sz w:val="21"/>
          <w:szCs w:val="21"/>
        </w:rPr>
        <w:t xml:space="preserve"> </w:t>
      </w:r>
      <w:r w:rsidR="004978FD" w:rsidRPr="0048642A">
        <w:rPr>
          <w:rFonts w:cstheme="minorHAnsi"/>
          <w:sz w:val="21"/>
          <w:szCs w:val="21"/>
        </w:rPr>
        <w:t>Original member</w:t>
      </w:r>
      <w:r w:rsidR="00201ADA" w:rsidRPr="0048642A">
        <w:rPr>
          <w:rFonts w:cstheme="minorHAnsi"/>
          <w:sz w:val="21"/>
          <w:szCs w:val="21"/>
        </w:rPr>
        <w:t>s</w:t>
      </w:r>
      <w:r w:rsidR="004978FD" w:rsidRPr="0048642A">
        <w:rPr>
          <w:rFonts w:cstheme="minorHAnsi"/>
          <w:sz w:val="21"/>
          <w:szCs w:val="21"/>
        </w:rPr>
        <w:t xml:space="preserve"> were the then new CLE divisions of Law Council members but membership has since broadened to embrace many types of providers of CLE and professional development services for example </w:t>
      </w:r>
    </w:p>
    <w:p w14:paraId="0D88CEF4" w14:textId="7AC8005D" w:rsidR="004978FD" w:rsidRPr="0048642A" w:rsidRDefault="004978FD" w:rsidP="00FF095A">
      <w:pPr>
        <w:pStyle w:val="ListParagraph"/>
        <w:numPr>
          <w:ilvl w:val="0"/>
          <w:numId w:val="3"/>
        </w:numPr>
        <w:rPr>
          <w:rFonts w:cstheme="minorHAnsi"/>
          <w:sz w:val="21"/>
          <w:szCs w:val="21"/>
        </w:rPr>
      </w:pPr>
      <w:r w:rsidRPr="0048642A">
        <w:rPr>
          <w:rFonts w:cstheme="minorHAnsi"/>
          <w:sz w:val="21"/>
          <w:szCs w:val="21"/>
        </w:rPr>
        <w:t>Institutional and Not for Profit providers (eg Law Societies, Bar Associations, Judicial Commissions, University Law Schools, College of Law, and other legal profession</w:t>
      </w:r>
      <w:r w:rsidR="00201ADA" w:rsidRPr="0048642A">
        <w:rPr>
          <w:rFonts w:cstheme="minorHAnsi"/>
          <w:sz w:val="21"/>
          <w:szCs w:val="21"/>
        </w:rPr>
        <w:t>al</w:t>
      </w:r>
      <w:r w:rsidRPr="0048642A">
        <w:rPr>
          <w:rFonts w:cstheme="minorHAnsi"/>
          <w:sz w:val="21"/>
          <w:szCs w:val="21"/>
        </w:rPr>
        <w:t xml:space="preserve"> associations, and regulators)  </w:t>
      </w:r>
    </w:p>
    <w:p w14:paraId="5AF8F5F0" w14:textId="01E81563" w:rsidR="004978FD" w:rsidRPr="0048642A" w:rsidRDefault="004978FD" w:rsidP="004978FD">
      <w:pPr>
        <w:pStyle w:val="ListParagraph"/>
        <w:numPr>
          <w:ilvl w:val="0"/>
          <w:numId w:val="3"/>
        </w:numPr>
        <w:rPr>
          <w:rFonts w:cstheme="minorHAnsi"/>
          <w:sz w:val="21"/>
          <w:szCs w:val="21"/>
        </w:rPr>
      </w:pPr>
      <w:r w:rsidRPr="0048642A">
        <w:rPr>
          <w:rFonts w:cstheme="minorHAnsi"/>
          <w:sz w:val="21"/>
          <w:szCs w:val="21"/>
        </w:rPr>
        <w:t xml:space="preserve">Commercial providers large and small </w:t>
      </w:r>
      <w:r w:rsidR="00A93432" w:rsidRPr="0048642A">
        <w:rPr>
          <w:rFonts w:cstheme="minorHAnsi"/>
          <w:sz w:val="21"/>
          <w:szCs w:val="21"/>
        </w:rPr>
        <w:t xml:space="preserve">(eg Legalwise </w:t>
      </w:r>
      <w:r w:rsidR="00201ADA" w:rsidRPr="0048642A">
        <w:rPr>
          <w:rFonts w:cstheme="minorHAnsi"/>
          <w:sz w:val="21"/>
          <w:szCs w:val="21"/>
        </w:rPr>
        <w:t>S</w:t>
      </w:r>
      <w:r w:rsidR="00A93432" w:rsidRPr="0048642A">
        <w:rPr>
          <w:rFonts w:cstheme="minorHAnsi"/>
          <w:sz w:val="21"/>
          <w:szCs w:val="21"/>
        </w:rPr>
        <w:t xml:space="preserve">eminars and individual or specialist consultants) </w:t>
      </w:r>
      <w:r w:rsidRPr="0048642A">
        <w:rPr>
          <w:rFonts w:cstheme="minorHAnsi"/>
          <w:sz w:val="21"/>
          <w:szCs w:val="21"/>
        </w:rPr>
        <w:t xml:space="preserve"> </w:t>
      </w:r>
    </w:p>
    <w:p w14:paraId="1ED83CE7" w14:textId="585BF75D" w:rsidR="004978FD" w:rsidRPr="0048642A" w:rsidRDefault="00A93432" w:rsidP="004978FD">
      <w:pPr>
        <w:pStyle w:val="ListParagraph"/>
        <w:numPr>
          <w:ilvl w:val="0"/>
          <w:numId w:val="3"/>
        </w:numPr>
        <w:rPr>
          <w:rFonts w:cstheme="minorHAnsi"/>
          <w:sz w:val="21"/>
          <w:szCs w:val="21"/>
        </w:rPr>
      </w:pPr>
      <w:r w:rsidRPr="0048642A">
        <w:rPr>
          <w:rFonts w:cstheme="minorHAnsi"/>
          <w:sz w:val="21"/>
          <w:szCs w:val="21"/>
        </w:rPr>
        <w:t>Medium to lar</w:t>
      </w:r>
      <w:r w:rsidR="004978FD" w:rsidRPr="0048642A">
        <w:rPr>
          <w:rFonts w:cstheme="minorHAnsi"/>
          <w:sz w:val="21"/>
          <w:szCs w:val="21"/>
        </w:rPr>
        <w:t>ge</w:t>
      </w:r>
      <w:r w:rsidRPr="0048642A">
        <w:rPr>
          <w:rFonts w:cstheme="minorHAnsi"/>
          <w:sz w:val="21"/>
          <w:szCs w:val="21"/>
        </w:rPr>
        <w:t xml:space="preserve"> law firms and government law departments with learning and development and HR functions  </w:t>
      </w:r>
      <w:r w:rsidR="004978FD" w:rsidRPr="0048642A">
        <w:rPr>
          <w:rFonts w:cstheme="minorHAnsi"/>
          <w:sz w:val="21"/>
          <w:szCs w:val="21"/>
        </w:rPr>
        <w:t xml:space="preserve"> </w:t>
      </w:r>
    </w:p>
    <w:p w14:paraId="5B2D976E" w14:textId="77777777" w:rsidR="00A93432" w:rsidRPr="0048642A" w:rsidRDefault="00A93432" w:rsidP="00A93432">
      <w:pPr>
        <w:pStyle w:val="ListParagraph"/>
        <w:ind w:left="765"/>
        <w:rPr>
          <w:rFonts w:cstheme="minorHAnsi"/>
          <w:sz w:val="21"/>
          <w:szCs w:val="21"/>
        </w:rPr>
      </w:pPr>
    </w:p>
    <w:p w14:paraId="7A353390" w14:textId="7311D7CE" w:rsidR="009425E1" w:rsidRPr="0048642A" w:rsidRDefault="00A93432" w:rsidP="00A93432">
      <w:pPr>
        <w:pStyle w:val="ListParagraph"/>
        <w:numPr>
          <w:ilvl w:val="0"/>
          <w:numId w:val="4"/>
        </w:numPr>
        <w:rPr>
          <w:rFonts w:cstheme="minorHAnsi"/>
          <w:sz w:val="21"/>
          <w:szCs w:val="21"/>
        </w:rPr>
      </w:pPr>
      <w:r w:rsidRPr="0048642A">
        <w:rPr>
          <w:rFonts w:cstheme="minorHAnsi"/>
          <w:b/>
          <w:bCs/>
          <w:sz w:val="21"/>
          <w:szCs w:val="21"/>
        </w:rPr>
        <w:t>Engagement:</w:t>
      </w:r>
      <w:r w:rsidRPr="0048642A">
        <w:rPr>
          <w:rFonts w:cstheme="minorHAnsi"/>
          <w:sz w:val="21"/>
          <w:szCs w:val="21"/>
        </w:rPr>
        <w:t xml:space="preserve"> </w:t>
      </w:r>
      <w:r w:rsidR="009425E1" w:rsidRPr="0048642A">
        <w:rPr>
          <w:rFonts w:cstheme="minorHAnsi"/>
          <w:sz w:val="21"/>
          <w:szCs w:val="21"/>
        </w:rPr>
        <w:t xml:space="preserve">Ways in which CLEAA engages with </w:t>
      </w:r>
      <w:r w:rsidR="00136A6E" w:rsidRPr="0048642A">
        <w:rPr>
          <w:rFonts w:cstheme="minorHAnsi"/>
          <w:sz w:val="21"/>
          <w:szCs w:val="21"/>
        </w:rPr>
        <w:t>member and non-</w:t>
      </w:r>
      <w:r w:rsidRPr="0048642A">
        <w:rPr>
          <w:rFonts w:cstheme="minorHAnsi"/>
          <w:sz w:val="21"/>
          <w:szCs w:val="21"/>
        </w:rPr>
        <w:t xml:space="preserve">member </w:t>
      </w:r>
      <w:r w:rsidR="009425E1" w:rsidRPr="0048642A">
        <w:rPr>
          <w:rFonts w:cstheme="minorHAnsi"/>
          <w:sz w:val="21"/>
          <w:szCs w:val="21"/>
        </w:rPr>
        <w:t xml:space="preserve">stakeholders interested in </w:t>
      </w:r>
      <w:r w:rsidRPr="0048642A">
        <w:rPr>
          <w:rFonts w:cstheme="minorHAnsi"/>
          <w:sz w:val="21"/>
          <w:szCs w:val="21"/>
        </w:rPr>
        <w:t>‘</w:t>
      </w:r>
      <w:r w:rsidR="009425E1" w:rsidRPr="0048642A">
        <w:rPr>
          <w:rFonts w:cstheme="minorHAnsi"/>
          <w:sz w:val="21"/>
          <w:szCs w:val="21"/>
        </w:rPr>
        <w:t>CLE</w:t>
      </w:r>
      <w:r w:rsidRPr="0048642A">
        <w:rPr>
          <w:rFonts w:cstheme="minorHAnsi"/>
          <w:sz w:val="21"/>
          <w:szCs w:val="21"/>
        </w:rPr>
        <w:t>’</w:t>
      </w:r>
      <w:r w:rsidR="009425E1" w:rsidRPr="0048642A">
        <w:rPr>
          <w:rFonts w:cstheme="minorHAnsi"/>
          <w:sz w:val="21"/>
          <w:szCs w:val="21"/>
        </w:rPr>
        <w:t xml:space="preserve"> include </w:t>
      </w:r>
    </w:p>
    <w:p w14:paraId="4C4E0216" w14:textId="05137778" w:rsidR="009425E1" w:rsidRPr="0048642A" w:rsidRDefault="009425E1" w:rsidP="009425E1">
      <w:pPr>
        <w:pStyle w:val="ListParagraph"/>
        <w:numPr>
          <w:ilvl w:val="0"/>
          <w:numId w:val="2"/>
        </w:numPr>
        <w:rPr>
          <w:rFonts w:cstheme="minorHAnsi"/>
          <w:sz w:val="21"/>
          <w:szCs w:val="21"/>
        </w:rPr>
      </w:pPr>
      <w:r w:rsidRPr="0048642A">
        <w:rPr>
          <w:rFonts w:cstheme="minorHAnsi"/>
          <w:sz w:val="21"/>
          <w:szCs w:val="21"/>
        </w:rPr>
        <w:t xml:space="preserve">Annual conference </w:t>
      </w:r>
      <w:r w:rsidR="00A93432" w:rsidRPr="0048642A">
        <w:rPr>
          <w:rFonts w:cstheme="minorHAnsi"/>
          <w:sz w:val="21"/>
          <w:szCs w:val="21"/>
        </w:rPr>
        <w:t xml:space="preserve">and AGM (typically 1.5 to 2 days) </w:t>
      </w:r>
    </w:p>
    <w:p w14:paraId="43560F67" w14:textId="4B9901B1" w:rsidR="00A93432" w:rsidRPr="0048642A" w:rsidRDefault="00A93432" w:rsidP="009425E1">
      <w:pPr>
        <w:pStyle w:val="ListParagraph"/>
        <w:numPr>
          <w:ilvl w:val="0"/>
          <w:numId w:val="2"/>
        </w:numPr>
        <w:rPr>
          <w:rFonts w:cstheme="minorHAnsi"/>
          <w:sz w:val="21"/>
          <w:szCs w:val="21"/>
        </w:rPr>
      </w:pPr>
      <w:r w:rsidRPr="0048642A">
        <w:rPr>
          <w:rFonts w:cstheme="minorHAnsi"/>
          <w:sz w:val="21"/>
          <w:szCs w:val="21"/>
        </w:rPr>
        <w:t xml:space="preserve">By monthly newsletter CLEAA Talk </w:t>
      </w:r>
    </w:p>
    <w:p w14:paraId="47E2C562" w14:textId="7A182F20" w:rsidR="00A93432" w:rsidRPr="0048642A" w:rsidRDefault="00A93432" w:rsidP="009425E1">
      <w:pPr>
        <w:pStyle w:val="ListParagraph"/>
        <w:numPr>
          <w:ilvl w:val="0"/>
          <w:numId w:val="2"/>
        </w:numPr>
        <w:rPr>
          <w:rFonts w:cstheme="minorHAnsi"/>
          <w:sz w:val="21"/>
          <w:szCs w:val="21"/>
        </w:rPr>
      </w:pPr>
      <w:r w:rsidRPr="0048642A">
        <w:rPr>
          <w:rFonts w:cstheme="minorHAnsi"/>
          <w:sz w:val="21"/>
          <w:szCs w:val="21"/>
        </w:rPr>
        <w:t xml:space="preserve">Website </w:t>
      </w:r>
      <w:hyperlink r:id="rId11" w:history="1">
        <w:r w:rsidRPr="0048642A">
          <w:rPr>
            <w:rStyle w:val="Hyperlink"/>
            <w:rFonts w:cstheme="minorHAnsi"/>
            <w:sz w:val="21"/>
            <w:szCs w:val="21"/>
          </w:rPr>
          <w:t>www.cleaa.asn.au</w:t>
        </w:r>
      </w:hyperlink>
      <w:r w:rsidRPr="0048642A">
        <w:rPr>
          <w:rFonts w:cstheme="minorHAnsi"/>
          <w:sz w:val="21"/>
          <w:szCs w:val="21"/>
        </w:rPr>
        <w:t xml:space="preserve"> </w:t>
      </w:r>
    </w:p>
    <w:p w14:paraId="0CD4D025" w14:textId="7077D82A" w:rsidR="00A93432" w:rsidRPr="0048642A" w:rsidRDefault="00136A6E" w:rsidP="009425E1">
      <w:pPr>
        <w:pStyle w:val="ListParagraph"/>
        <w:numPr>
          <w:ilvl w:val="0"/>
          <w:numId w:val="2"/>
        </w:numPr>
        <w:rPr>
          <w:rFonts w:cstheme="minorHAnsi"/>
          <w:sz w:val="21"/>
          <w:szCs w:val="21"/>
        </w:rPr>
      </w:pPr>
      <w:r w:rsidRPr="0048642A">
        <w:rPr>
          <w:rFonts w:cstheme="minorHAnsi"/>
          <w:sz w:val="21"/>
          <w:szCs w:val="21"/>
        </w:rPr>
        <w:t xml:space="preserve">Online learning- recent events regarding digital learning and solicitor supervision have attracted between 150 and 300 online participants </w:t>
      </w:r>
    </w:p>
    <w:p w14:paraId="2D58F44B" w14:textId="77777777" w:rsidR="00A93432" w:rsidRPr="0048642A" w:rsidRDefault="00A93432" w:rsidP="00A93432">
      <w:pPr>
        <w:pStyle w:val="ListParagraph"/>
        <w:ind w:left="360"/>
        <w:rPr>
          <w:rFonts w:cstheme="minorHAnsi"/>
          <w:sz w:val="21"/>
          <w:szCs w:val="21"/>
        </w:rPr>
      </w:pPr>
    </w:p>
    <w:p w14:paraId="2C2C59EE" w14:textId="77777777" w:rsidR="00402845" w:rsidRPr="0048642A" w:rsidRDefault="00A93432" w:rsidP="00402845">
      <w:pPr>
        <w:pStyle w:val="ListParagraph"/>
        <w:numPr>
          <w:ilvl w:val="0"/>
          <w:numId w:val="4"/>
        </w:numPr>
        <w:rPr>
          <w:color w:val="17365D"/>
          <w:sz w:val="21"/>
          <w:szCs w:val="21"/>
        </w:rPr>
      </w:pPr>
      <w:r w:rsidRPr="0048642A">
        <w:rPr>
          <w:rFonts w:cstheme="minorHAnsi"/>
          <w:b/>
          <w:bCs/>
          <w:sz w:val="21"/>
          <w:szCs w:val="21"/>
        </w:rPr>
        <w:t xml:space="preserve">Current Executive:  </w:t>
      </w:r>
    </w:p>
    <w:p w14:paraId="6FB95D48" w14:textId="3DB9DDB9" w:rsidR="00402845" w:rsidRPr="0048642A" w:rsidRDefault="00402845" w:rsidP="00402845">
      <w:pPr>
        <w:spacing w:after="0"/>
        <w:ind w:left="720"/>
        <w:rPr>
          <w:rFonts w:cstheme="minorHAnsi"/>
          <w:sz w:val="21"/>
          <w:szCs w:val="21"/>
        </w:rPr>
      </w:pPr>
      <w:r w:rsidRPr="0048642A">
        <w:rPr>
          <w:rFonts w:cstheme="minorHAnsi"/>
          <w:sz w:val="21"/>
          <w:szCs w:val="21"/>
        </w:rPr>
        <w:t>President - Jacquelyn Simon, Managing Director, Legalwise Seminars;</w:t>
      </w:r>
    </w:p>
    <w:p w14:paraId="1FD2AD25" w14:textId="0AC6B2E5" w:rsidR="00402845" w:rsidRPr="0048642A" w:rsidRDefault="00402845" w:rsidP="00402845">
      <w:pPr>
        <w:spacing w:after="0"/>
        <w:ind w:left="720"/>
        <w:rPr>
          <w:rFonts w:cstheme="minorHAnsi"/>
          <w:sz w:val="21"/>
          <w:szCs w:val="21"/>
        </w:rPr>
      </w:pPr>
      <w:r w:rsidRPr="0048642A">
        <w:rPr>
          <w:rFonts w:cstheme="minorHAnsi"/>
          <w:sz w:val="21"/>
          <w:szCs w:val="21"/>
        </w:rPr>
        <w:t>Vice President and Treasurer</w:t>
      </w:r>
      <w:r w:rsidR="00201ADA" w:rsidRPr="0048642A">
        <w:rPr>
          <w:rFonts w:cstheme="minorHAnsi"/>
          <w:sz w:val="21"/>
          <w:szCs w:val="21"/>
        </w:rPr>
        <w:t xml:space="preserve"> </w:t>
      </w:r>
      <w:r w:rsidRPr="0048642A">
        <w:rPr>
          <w:rFonts w:cstheme="minorHAnsi"/>
          <w:sz w:val="21"/>
          <w:szCs w:val="21"/>
        </w:rPr>
        <w:t>-  Una Doyle, Director Education</w:t>
      </w:r>
      <w:r w:rsidR="00201ADA" w:rsidRPr="0048642A">
        <w:rPr>
          <w:rFonts w:cstheme="minorHAnsi"/>
          <w:sz w:val="21"/>
          <w:szCs w:val="21"/>
        </w:rPr>
        <w:t>,</w:t>
      </w:r>
      <w:r w:rsidRPr="0048642A">
        <w:rPr>
          <w:rFonts w:cstheme="minorHAnsi"/>
          <w:sz w:val="21"/>
          <w:szCs w:val="21"/>
        </w:rPr>
        <w:t xml:space="preserve"> NSW Judicial Commission; </w:t>
      </w:r>
    </w:p>
    <w:p w14:paraId="2A6D1EC8" w14:textId="43C8F6E6" w:rsidR="00402845" w:rsidRPr="0048642A" w:rsidRDefault="00402845" w:rsidP="00402845">
      <w:pPr>
        <w:spacing w:after="0"/>
        <w:ind w:left="720"/>
        <w:rPr>
          <w:sz w:val="21"/>
          <w:szCs w:val="21"/>
        </w:rPr>
      </w:pPr>
      <w:r w:rsidRPr="0048642A">
        <w:rPr>
          <w:rFonts w:cstheme="minorHAnsi"/>
          <w:sz w:val="21"/>
          <w:szCs w:val="21"/>
        </w:rPr>
        <w:lastRenderedPageBreak/>
        <w:t>Ordinary Members -  Cara Sleeman, Head of Professional Development, Law Society of NSW, Natalie Weiland, Managing Director, Vidversity</w:t>
      </w:r>
      <w:r w:rsidR="0048642A" w:rsidRPr="0048642A">
        <w:rPr>
          <w:rFonts w:cstheme="minorHAnsi"/>
          <w:sz w:val="21"/>
          <w:szCs w:val="21"/>
        </w:rPr>
        <w:t xml:space="preserve">; Sue-Ella Prodonovich, Prodonovich Advisory; </w:t>
      </w:r>
      <w:r w:rsidRPr="0048642A">
        <w:rPr>
          <w:rFonts w:cstheme="minorHAnsi"/>
          <w:sz w:val="21"/>
          <w:szCs w:val="21"/>
        </w:rPr>
        <w:t xml:space="preserve">and  </w:t>
      </w:r>
      <w:r w:rsidRPr="0048642A">
        <w:rPr>
          <w:sz w:val="21"/>
          <w:szCs w:val="21"/>
        </w:rPr>
        <w:t>Dr Chantal Morton</w:t>
      </w:r>
      <w:r w:rsidR="009235A1" w:rsidRPr="0048642A">
        <w:rPr>
          <w:sz w:val="21"/>
          <w:szCs w:val="21"/>
        </w:rPr>
        <w:t>,</w:t>
      </w:r>
      <w:r w:rsidRPr="0048642A">
        <w:rPr>
          <w:sz w:val="21"/>
          <w:szCs w:val="21"/>
        </w:rPr>
        <w:t xml:space="preserve">  Associate Professor / Director of the Legal Academic Skills Centre Melbourne Law School</w:t>
      </w:r>
      <w:r w:rsidR="00201ADA" w:rsidRPr="0048642A">
        <w:rPr>
          <w:sz w:val="21"/>
          <w:szCs w:val="21"/>
        </w:rPr>
        <w:t>;</w:t>
      </w:r>
    </w:p>
    <w:p w14:paraId="3507927E" w14:textId="4FEB3F43" w:rsidR="00402845" w:rsidRPr="0048642A" w:rsidRDefault="00402845" w:rsidP="00402845">
      <w:pPr>
        <w:spacing w:after="0"/>
        <w:ind w:left="720"/>
        <w:rPr>
          <w:sz w:val="21"/>
          <w:szCs w:val="21"/>
        </w:rPr>
      </w:pPr>
      <w:r w:rsidRPr="0048642A">
        <w:rPr>
          <w:sz w:val="21"/>
          <w:szCs w:val="21"/>
        </w:rPr>
        <w:t>Immediate Past President – Ronwyn North</w:t>
      </w:r>
      <w:r w:rsidR="00201ADA" w:rsidRPr="0048642A">
        <w:rPr>
          <w:sz w:val="21"/>
          <w:szCs w:val="21"/>
        </w:rPr>
        <w:t>,</w:t>
      </w:r>
      <w:r w:rsidRPr="0048642A">
        <w:rPr>
          <w:sz w:val="21"/>
          <w:szCs w:val="21"/>
        </w:rPr>
        <w:t xml:space="preserve"> Managing Director</w:t>
      </w:r>
      <w:r w:rsidR="00201ADA" w:rsidRPr="0048642A">
        <w:rPr>
          <w:sz w:val="21"/>
          <w:szCs w:val="21"/>
        </w:rPr>
        <w:t>,</w:t>
      </w:r>
      <w:r w:rsidRPr="0048642A">
        <w:rPr>
          <w:sz w:val="21"/>
          <w:szCs w:val="21"/>
        </w:rPr>
        <w:t xml:space="preserve"> Streeton Consulting </w:t>
      </w:r>
    </w:p>
    <w:sectPr w:rsidR="00402845" w:rsidRPr="0048642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D49F" w14:textId="77777777" w:rsidR="00CE1780" w:rsidRDefault="00CE1780" w:rsidP="003F2871">
      <w:pPr>
        <w:spacing w:after="0" w:line="240" w:lineRule="auto"/>
      </w:pPr>
      <w:r>
        <w:separator/>
      </w:r>
    </w:p>
  </w:endnote>
  <w:endnote w:type="continuationSeparator" w:id="0">
    <w:p w14:paraId="2FB74419" w14:textId="77777777" w:rsidR="00CE1780" w:rsidRDefault="00CE1780" w:rsidP="003F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8B9" w14:textId="2BC2A9C4" w:rsidR="003F2871" w:rsidRDefault="003F2871" w:rsidP="003F2871">
    <w:pPr>
      <w:pStyle w:val="Footer"/>
      <w:jc w:val="center"/>
    </w:pPr>
    <w:r>
      <w:t>CLEAA Secretariat c/e Kathryn McKenzie, Business Angel Services</w:t>
    </w:r>
  </w:p>
  <w:p w14:paraId="217D2686" w14:textId="77777777" w:rsidR="003F2871" w:rsidRDefault="003F2871" w:rsidP="003F2871">
    <w:pPr>
      <w:pStyle w:val="Footer"/>
      <w:jc w:val="center"/>
    </w:pPr>
    <w:r>
      <w:t>PO Box R992, Royal Exchange, NSW 1225 Tel + 61 (0) 413 501 992</w:t>
    </w:r>
  </w:p>
  <w:p w14:paraId="0D3A6FAA" w14:textId="593BA7B0" w:rsidR="003F2871" w:rsidRDefault="003F2871" w:rsidP="003F2871">
    <w:pPr>
      <w:pStyle w:val="Footer"/>
      <w:jc w:val="center"/>
    </w:pPr>
    <w:r>
      <w:t>Email  secretatiat@cleaa.asn.au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EC1B" w14:textId="77777777" w:rsidR="00CE1780" w:rsidRDefault="00CE1780" w:rsidP="003F2871">
      <w:pPr>
        <w:spacing w:after="0" w:line="240" w:lineRule="auto"/>
      </w:pPr>
      <w:r>
        <w:separator/>
      </w:r>
    </w:p>
  </w:footnote>
  <w:footnote w:type="continuationSeparator" w:id="0">
    <w:p w14:paraId="094B82E5" w14:textId="77777777" w:rsidR="00CE1780" w:rsidRDefault="00CE1780" w:rsidP="003F2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5BE"/>
    <w:multiLevelType w:val="hybridMultilevel"/>
    <w:tmpl w:val="4B741EE2"/>
    <w:lvl w:ilvl="0" w:tplc="7924CC62">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B696F97"/>
    <w:multiLevelType w:val="hybridMultilevel"/>
    <w:tmpl w:val="D514FC06"/>
    <w:lvl w:ilvl="0" w:tplc="438A90A0">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904209"/>
    <w:multiLevelType w:val="hybridMultilevel"/>
    <w:tmpl w:val="4784E4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7B25560"/>
    <w:multiLevelType w:val="hybridMultilevel"/>
    <w:tmpl w:val="19E4B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71"/>
    <w:rsid w:val="000F4FAC"/>
    <w:rsid w:val="00136A6E"/>
    <w:rsid w:val="00201ADA"/>
    <w:rsid w:val="002218B3"/>
    <w:rsid w:val="003020D6"/>
    <w:rsid w:val="003F2871"/>
    <w:rsid w:val="00402845"/>
    <w:rsid w:val="0048642A"/>
    <w:rsid w:val="004978FD"/>
    <w:rsid w:val="004A5B3D"/>
    <w:rsid w:val="00535692"/>
    <w:rsid w:val="007B31A3"/>
    <w:rsid w:val="008D7D89"/>
    <w:rsid w:val="00900503"/>
    <w:rsid w:val="009235A1"/>
    <w:rsid w:val="009425E1"/>
    <w:rsid w:val="00A93432"/>
    <w:rsid w:val="00AD61D8"/>
    <w:rsid w:val="00B17EBE"/>
    <w:rsid w:val="00BE0212"/>
    <w:rsid w:val="00CE1780"/>
    <w:rsid w:val="00D625F2"/>
    <w:rsid w:val="00F5669C"/>
    <w:rsid w:val="00FF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71A3"/>
  <w15:chartTrackingRefBased/>
  <w15:docId w15:val="{D6B2C950-04BE-4E98-9DB2-CB65C77C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871"/>
    <w:rPr>
      <w:color w:val="0563C1" w:themeColor="hyperlink"/>
      <w:u w:val="single"/>
    </w:rPr>
  </w:style>
  <w:style w:type="character" w:customStyle="1" w:styleId="UnresolvedMention">
    <w:name w:val="Unresolved Mention"/>
    <w:basedOn w:val="DefaultParagraphFont"/>
    <w:uiPriority w:val="99"/>
    <w:semiHidden/>
    <w:unhideWhenUsed/>
    <w:rsid w:val="003F2871"/>
    <w:rPr>
      <w:color w:val="605E5C"/>
      <w:shd w:val="clear" w:color="auto" w:fill="E1DFDD"/>
    </w:rPr>
  </w:style>
  <w:style w:type="paragraph" w:styleId="Header">
    <w:name w:val="header"/>
    <w:basedOn w:val="Normal"/>
    <w:link w:val="HeaderChar"/>
    <w:uiPriority w:val="99"/>
    <w:unhideWhenUsed/>
    <w:rsid w:val="003F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871"/>
  </w:style>
  <w:style w:type="paragraph" w:styleId="Footer">
    <w:name w:val="footer"/>
    <w:basedOn w:val="Normal"/>
    <w:link w:val="FooterChar"/>
    <w:uiPriority w:val="99"/>
    <w:unhideWhenUsed/>
    <w:rsid w:val="003F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871"/>
  </w:style>
  <w:style w:type="paragraph" w:styleId="ListParagraph">
    <w:name w:val="List Paragraph"/>
    <w:basedOn w:val="Normal"/>
    <w:uiPriority w:val="34"/>
    <w:qFormat/>
    <w:rsid w:val="00900503"/>
    <w:pPr>
      <w:ind w:left="720"/>
      <w:contextualSpacing/>
    </w:pPr>
  </w:style>
  <w:style w:type="paragraph" w:customStyle="1" w:styleId="Default">
    <w:name w:val="Default"/>
    <w:rsid w:val="00B17EB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93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404">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713068837">
      <w:bodyDiv w:val="1"/>
      <w:marLeft w:val="0"/>
      <w:marRight w:val="0"/>
      <w:marTop w:val="0"/>
      <w:marBottom w:val="0"/>
      <w:divBdr>
        <w:top w:val="none" w:sz="0" w:space="0" w:color="auto"/>
        <w:left w:val="none" w:sz="0" w:space="0" w:color="auto"/>
        <w:bottom w:val="none" w:sz="0" w:space="0" w:color="auto"/>
        <w:right w:val="none" w:sz="0" w:space="0" w:color="auto"/>
      </w:divBdr>
    </w:div>
    <w:div w:id="17654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a.asn.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pdreview@lsbc.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06673F9-1EA6-4DC9-A60F-3BEE9900DC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Ronwyn North</dc:creator>
  <cp:keywords/>
  <dc:description/>
  <cp:lastModifiedBy>Alicia Semple</cp:lastModifiedBy>
  <cp:revision>2</cp:revision>
  <dcterms:created xsi:type="dcterms:W3CDTF">2020-11-23T05:42:00Z</dcterms:created>
  <dcterms:modified xsi:type="dcterms:W3CDTF">2020-11-23T05:42:00Z</dcterms:modified>
</cp:coreProperties>
</file>